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58240" behindDoc="0" locked="0" layoutInCell="1" allowOverlap="1">
            <wp:simplePos x="0" y="0"/>
            <wp:positionH relativeFrom="column">
              <wp:posOffset>-3810</wp:posOffset>
            </wp:positionH>
            <wp:positionV relativeFrom="paragraph">
              <wp:posOffset>111760</wp:posOffset>
            </wp:positionV>
            <wp:extent cx="5334000" cy="866775"/>
            <wp:effectExtent l="19050" t="0" r="0" b="0"/>
            <wp:wrapTopAndBottom/>
            <wp:docPr id="2" name="图片 2" descr="文件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件标头"/>
                    <pic:cNvPicPr>
                      <a:picLocks noChangeAspect="1" noChangeArrowheads="1"/>
                    </pic:cNvPicPr>
                  </pic:nvPicPr>
                  <pic:blipFill>
                    <a:blip r:embed="rId4" cstate="print"/>
                    <a:srcRect/>
                    <a:stretch>
                      <a:fillRect/>
                    </a:stretch>
                  </pic:blipFill>
                  <pic:spPr>
                    <a:xfrm>
                      <a:off x="0" y="0"/>
                      <a:ext cx="5334000" cy="866775"/>
                    </a:xfrm>
                    <a:prstGeom prst="rect">
                      <a:avLst/>
                    </a:prstGeom>
                    <a:noFill/>
                    <a:ln w="9525">
                      <a:noFill/>
                      <a:miter lim="800000"/>
                      <a:headEnd/>
                      <a:tailEnd/>
                    </a:ln>
                  </pic:spPr>
                </pic:pic>
              </a:graphicData>
            </a:graphic>
          </wp:anchor>
        </w:drawing>
      </w:r>
    </w:p>
    <w:p>
      <w:pPr>
        <w:spacing w:line="740" w:lineRule="exact"/>
        <w:jc w:val="center"/>
        <w:rPr>
          <w:rFonts w:ascii="仿宋" w:hAnsi="仿宋" w:eastAsia="仿宋"/>
          <w:color w:val="000000"/>
          <w:sz w:val="32"/>
          <w:szCs w:val="32"/>
        </w:rPr>
      </w:pPr>
      <w:r>
        <w:rPr>
          <w:rFonts w:hint="eastAsia" w:ascii="仿宋" w:hAnsi="仿宋" w:eastAsia="仿宋"/>
          <w:color w:val="000000"/>
          <w:sz w:val="32"/>
          <w:szCs w:val="32"/>
        </w:rPr>
        <w:t>莆市教院 [2018]研</w:t>
      </w:r>
      <w:r>
        <w:rPr>
          <w:rFonts w:hint="eastAsia" w:ascii="仿宋" w:hAnsi="仿宋" w:eastAsia="仿宋"/>
          <w:color w:val="000000"/>
          <w:sz w:val="32"/>
          <w:szCs w:val="32"/>
          <w:lang w:val="en-US" w:eastAsia="zh-CN"/>
        </w:rPr>
        <w:t>70</w:t>
      </w:r>
      <w:bookmarkStart w:id="0" w:name="_GoBack"/>
      <w:bookmarkEnd w:id="0"/>
      <w:r>
        <w:rPr>
          <w:rFonts w:hint="eastAsia" w:ascii="仿宋" w:hAnsi="仿宋" w:eastAsia="仿宋"/>
          <w:color w:val="000000"/>
          <w:sz w:val="32"/>
          <w:szCs w:val="32"/>
        </w:rPr>
        <w:t>号</w:t>
      </w:r>
    </w:p>
    <w:p>
      <w:pPr>
        <w:spacing w:line="600" w:lineRule="exact"/>
        <w:jc w:val="center"/>
        <w:rPr>
          <w:color w:val="000000"/>
          <w:sz w:val="32"/>
          <w:szCs w:val="32"/>
        </w:rPr>
      </w:pPr>
      <w:r>
        <w:rPr>
          <w:color w:val="000000"/>
          <w:sz w:val="32"/>
          <w:szCs w:val="32"/>
        </w:rPr>
        <w:pict>
          <v:line id="_x0000_s1027" o:spid="_x0000_s1027" o:spt="20" style="position:absolute;left:0pt;margin-left:0.3pt;margin-top:23.9pt;height:0pt;width:430.5pt;z-index:251660288;mso-width-relative:page;mso-height-relative:page;" stroked="t" coordsize="21600,21600">
            <v:path arrowok="t"/>
            <v:fill focussize="0,0"/>
            <v:stroke weight="2pt" color="#FF0000"/>
            <v:imagedata o:title=""/>
            <o:lock v:ext="edit"/>
          </v:line>
        </w:pict>
      </w:r>
    </w:p>
    <w:p>
      <w:pPr>
        <w:jc w:val="center"/>
        <w:rPr>
          <w:color w:val="000000"/>
          <w:szCs w:val="21"/>
        </w:rPr>
      </w:pPr>
    </w:p>
    <w:p>
      <w:pPr>
        <w:jc w:val="center"/>
        <w:rPr>
          <w:rFonts w:ascii="黑体" w:hAnsi="黑体" w:eastAsia="黑体"/>
          <w:sz w:val="36"/>
          <w:szCs w:val="36"/>
        </w:rPr>
      </w:pPr>
      <w:r>
        <w:rPr>
          <w:rFonts w:hint="eastAsia" w:ascii="黑体" w:hAnsi="黑体" w:eastAsia="黑体"/>
          <w:sz w:val="36"/>
          <w:szCs w:val="36"/>
        </w:rPr>
        <w:t>关于开展莆田市基础教育优秀案例</w:t>
      </w:r>
    </w:p>
    <w:p>
      <w:pPr>
        <w:jc w:val="center"/>
        <w:rPr>
          <w:rFonts w:ascii="黑体" w:hAnsi="黑体" w:eastAsia="黑体"/>
          <w:sz w:val="36"/>
          <w:szCs w:val="36"/>
        </w:rPr>
      </w:pPr>
      <w:r>
        <w:rPr>
          <w:rFonts w:hint="eastAsia" w:ascii="黑体" w:hAnsi="黑体" w:eastAsia="黑体"/>
          <w:sz w:val="36"/>
          <w:szCs w:val="36"/>
        </w:rPr>
        <w:t>征集与评选工作的通知</w:t>
      </w:r>
    </w:p>
    <w:p>
      <w:pPr>
        <w:jc w:val="center"/>
        <w:rPr>
          <w:sz w:val="32"/>
          <w:szCs w:val="32"/>
        </w:rPr>
      </w:pPr>
    </w:p>
    <w:p>
      <w:pPr>
        <w:rPr>
          <w:rFonts w:ascii="仿宋" w:hAnsi="仿宋" w:eastAsia="仿宋"/>
          <w:sz w:val="32"/>
          <w:szCs w:val="32"/>
        </w:rPr>
      </w:pPr>
      <w:r>
        <w:rPr>
          <w:rFonts w:hint="eastAsia" w:ascii="仿宋" w:hAnsi="仿宋" w:eastAsia="仿宋"/>
          <w:sz w:val="32"/>
          <w:szCs w:val="32"/>
        </w:rPr>
        <w:t>各县区（管委会）教师进修学校（事务局），各市直学校：</w:t>
      </w:r>
    </w:p>
    <w:p>
      <w:pPr>
        <w:ind w:firstLine="640" w:firstLineChars="200"/>
        <w:rPr>
          <w:rFonts w:ascii="仿宋" w:hAnsi="仿宋" w:eastAsia="仿宋"/>
          <w:sz w:val="32"/>
          <w:szCs w:val="32"/>
        </w:rPr>
      </w:pPr>
      <w:r>
        <w:rPr>
          <w:rFonts w:hint="eastAsia" w:ascii="仿宋" w:hAnsi="仿宋" w:eastAsia="仿宋"/>
          <w:sz w:val="32"/>
          <w:szCs w:val="32"/>
        </w:rPr>
        <w:t>根据《福建省教育评估研究中心关于开展基础教育优秀案例评选和推送工作的通知》（闽教评中心【2018】31号）文件精神，决定开展莆田市基础教育优秀案例评选和推送工作，现将有关事项通知如下：</w:t>
      </w:r>
    </w:p>
    <w:p>
      <w:pPr>
        <w:ind w:firstLine="643" w:firstLineChars="200"/>
        <w:rPr>
          <w:rFonts w:ascii="仿宋" w:hAnsi="仿宋" w:eastAsia="仿宋"/>
          <w:b/>
          <w:sz w:val="32"/>
          <w:szCs w:val="32"/>
        </w:rPr>
      </w:pPr>
      <w:r>
        <w:rPr>
          <w:rFonts w:hint="eastAsia" w:ascii="仿宋" w:hAnsi="仿宋" w:eastAsia="仿宋"/>
          <w:b/>
          <w:sz w:val="32"/>
          <w:szCs w:val="32"/>
        </w:rPr>
        <w:t>一、评选案例内容</w:t>
      </w:r>
    </w:p>
    <w:p>
      <w:pPr>
        <w:ind w:firstLine="640" w:firstLineChars="200"/>
        <w:rPr>
          <w:rFonts w:ascii="仿宋" w:hAnsi="仿宋" w:eastAsia="仿宋"/>
          <w:sz w:val="32"/>
          <w:szCs w:val="32"/>
        </w:rPr>
      </w:pPr>
      <w:r>
        <w:rPr>
          <w:rFonts w:hint="eastAsia" w:ascii="仿宋" w:hAnsi="仿宋" w:eastAsia="仿宋"/>
          <w:sz w:val="32"/>
          <w:szCs w:val="32"/>
        </w:rPr>
        <w:t>义务教育学校管理；进修学校建设；美育工作。</w:t>
      </w:r>
    </w:p>
    <w:p>
      <w:pPr>
        <w:ind w:firstLine="643" w:firstLineChars="200"/>
        <w:rPr>
          <w:rFonts w:ascii="仿宋" w:hAnsi="仿宋" w:eastAsia="仿宋"/>
          <w:b/>
          <w:sz w:val="32"/>
          <w:szCs w:val="32"/>
        </w:rPr>
      </w:pPr>
      <w:r>
        <w:rPr>
          <w:rFonts w:hint="eastAsia" w:ascii="仿宋" w:hAnsi="仿宋" w:eastAsia="仿宋"/>
          <w:b/>
          <w:sz w:val="32"/>
          <w:szCs w:val="32"/>
        </w:rPr>
        <w:t>二、案例范围</w:t>
      </w:r>
    </w:p>
    <w:p>
      <w:pPr>
        <w:ind w:firstLine="640" w:firstLineChars="200"/>
        <w:rPr>
          <w:rFonts w:ascii="仿宋" w:hAnsi="仿宋" w:eastAsia="仿宋"/>
          <w:sz w:val="32"/>
          <w:szCs w:val="32"/>
        </w:rPr>
      </w:pPr>
      <w:r>
        <w:rPr>
          <w:rFonts w:hint="eastAsia" w:ascii="仿宋" w:hAnsi="仿宋" w:eastAsia="仿宋"/>
          <w:sz w:val="32"/>
          <w:szCs w:val="32"/>
        </w:rPr>
        <w:t>义务教育学校管理案例围绕《福建省“义务教育管理化学校”评估标准（试行）》（闽教基[2016]18号）中的75条评估标准来写；进修学校建设案例围绕《福建省县级教师进修学校标准化建设评估标准》（闽教师[2017]77号）中的76条评估标准来写；美育案例围绕师资队伍、设施设备完善、教育教学与科研、实践活动平台、督导评估、保障机制、推进措施等方面来写。</w:t>
      </w:r>
    </w:p>
    <w:p>
      <w:pPr>
        <w:ind w:firstLine="643" w:firstLineChars="200"/>
        <w:rPr>
          <w:rFonts w:ascii="仿宋" w:hAnsi="仿宋" w:eastAsia="仿宋"/>
          <w:b/>
          <w:sz w:val="32"/>
          <w:szCs w:val="32"/>
        </w:rPr>
      </w:pPr>
      <w:r>
        <w:rPr>
          <w:rFonts w:hint="eastAsia" w:ascii="仿宋" w:hAnsi="仿宋" w:eastAsia="仿宋"/>
          <w:b/>
          <w:sz w:val="32"/>
          <w:szCs w:val="32"/>
        </w:rPr>
        <w:t>三、案例要求</w:t>
      </w:r>
    </w:p>
    <w:p>
      <w:pPr>
        <w:ind w:firstLine="640" w:firstLineChars="200"/>
        <w:rPr>
          <w:rFonts w:ascii="仿宋" w:hAnsi="仿宋" w:eastAsia="仿宋"/>
          <w:sz w:val="32"/>
          <w:szCs w:val="32"/>
        </w:rPr>
      </w:pPr>
      <w:r>
        <w:rPr>
          <w:rFonts w:hint="eastAsia" w:ascii="仿宋" w:hAnsi="仿宋" w:eastAsia="仿宋"/>
          <w:sz w:val="32"/>
          <w:szCs w:val="32"/>
        </w:rPr>
        <w:t>主题明确，观点鲜明，事例典型，数据准确，语言简炼，有示范性和参考价值。文字控制在500字以内，可参考三个义务教育学校管理案例（见附件）。</w:t>
      </w:r>
    </w:p>
    <w:p>
      <w:pPr>
        <w:ind w:firstLine="643" w:firstLineChars="200"/>
        <w:rPr>
          <w:rFonts w:ascii="仿宋" w:hAnsi="仿宋" w:eastAsia="仿宋"/>
          <w:b/>
          <w:sz w:val="32"/>
          <w:szCs w:val="32"/>
        </w:rPr>
      </w:pPr>
      <w:r>
        <w:rPr>
          <w:rFonts w:hint="eastAsia" w:ascii="仿宋" w:hAnsi="仿宋" w:eastAsia="仿宋"/>
          <w:b/>
          <w:sz w:val="32"/>
          <w:szCs w:val="32"/>
        </w:rPr>
        <w:t>四、案例评选和推送</w:t>
      </w:r>
    </w:p>
    <w:p>
      <w:pPr>
        <w:ind w:firstLine="640" w:firstLineChars="200"/>
        <w:rPr>
          <w:rFonts w:ascii="仿宋" w:hAnsi="仿宋" w:eastAsia="仿宋"/>
          <w:sz w:val="32"/>
          <w:szCs w:val="32"/>
        </w:rPr>
      </w:pPr>
      <w:r>
        <w:rPr>
          <w:rFonts w:hint="eastAsia" w:ascii="仿宋" w:hAnsi="仿宋" w:eastAsia="仿宋"/>
          <w:sz w:val="32"/>
          <w:szCs w:val="32"/>
        </w:rPr>
        <w:t>我院将于10月份组织有关专家评审，分三类分别评出一定数量的一等奖、二等奖和三等奖，同时将优秀案例推送到福建省教育评估研究中心。</w:t>
      </w:r>
    </w:p>
    <w:p>
      <w:pPr>
        <w:ind w:firstLine="643" w:firstLineChars="200"/>
        <w:rPr>
          <w:rFonts w:ascii="仿宋" w:hAnsi="仿宋" w:eastAsia="仿宋"/>
          <w:b/>
          <w:sz w:val="32"/>
          <w:szCs w:val="32"/>
        </w:rPr>
      </w:pPr>
      <w:r>
        <w:rPr>
          <w:rFonts w:hint="eastAsia" w:ascii="仿宋" w:hAnsi="仿宋" w:eastAsia="仿宋"/>
          <w:b/>
          <w:sz w:val="32"/>
          <w:szCs w:val="32"/>
        </w:rPr>
        <w:t>五、报送要求</w:t>
      </w:r>
    </w:p>
    <w:p>
      <w:pPr>
        <w:ind w:firstLine="640" w:firstLineChars="200"/>
        <w:rPr>
          <w:rFonts w:ascii="仿宋" w:hAnsi="仿宋" w:eastAsia="仿宋"/>
          <w:sz w:val="32"/>
          <w:szCs w:val="32"/>
        </w:rPr>
      </w:pPr>
      <w:r>
        <w:rPr>
          <w:rFonts w:hint="eastAsia" w:ascii="仿宋" w:hAnsi="仿宋" w:eastAsia="仿宋"/>
          <w:sz w:val="32"/>
          <w:szCs w:val="32"/>
        </w:rPr>
        <w:t>各县区（管委会）教师进修学校（事务局）及市直学校要积极宣传和开展此次活动，将征集到的案例电子稿汇总打包（主题：××县区基础教育优秀案例）发送到ptjykt</w:t>
      </w:r>
      <w:r>
        <w:rPr>
          <w:rFonts w:ascii="仿宋" w:hAnsi="仿宋" w:eastAsia="仿宋"/>
          <w:sz w:val="32"/>
          <w:szCs w:val="32"/>
        </w:rPr>
        <w:t>@163.com,</w:t>
      </w:r>
      <w:r>
        <w:rPr>
          <w:rFonts w:hint="eastAsia" w:ascii="仿宋" w:hAnsi="仿宋" w:eastAsia="仿宋"/>
          <w:sz w:val="32"/>
          <w:szCs w:val="32"/>
        </w:rPr>
        <w:t>不收纸质稿；截止时间：2018年10月10日。案例后面请注明学校名称、作者姓名、联系手机和邮箱，便于工作联系。</w:t>
      </w:r>
    </w:p>
    <w:p>
      <w:pPr>
        <w:ind w:firstLine="640" w:firstLineChars="200"/>
        <w:rPr>
          <w:rFonts w:ascii="仿宋" w:hAnsi="仿宋" w:eastAsia="仿宋"/>
          <w:sz w:val="32"/>
          <w:szCs w:val="32"/>
        </w:rPr>
      </w:pPr>
      <w:r>
        <w:rPr>
          <w:rFonts w:hint="eastAsia" w:ascii="仿宋" w:hAnsi="仿宋" w:eastAsia="仿宋"/>
          <w:sz w:val="32"/>
          <w:szCs w:val="32"/>
        </w:rPr>
        <w:t>附件：三个义务教育学校管理案例</w:t>
      </w:r>
    </w:p>
    <w:p>
      <w:pPr>
        <w:ind w:firstLine="640" w:firstLineChars="200"/>
        <w:jc w:val="right"/>
        <w:rPr>
          <w:rFonts w:ascii="仿宋" w:hAnsi="仿宋" w:eastAsia="仿宋"/>
          <w:sz w:val="32"/>
          <w:szCs w:val="32"/>
        </w:rPr>
      </w:pPr>
      <w:r>
        <w:rPr>
          <w:rFonts w:hint="eastAsia" w:ascii="仿宋" w:hAnsi="仿宋" w:eastAsia="仿宋"/>
          <w:sz w:val="32"/>
          <w:szCs w:val="32"/>
        </w:rPr>
        <w:t>莆田市教师进修学院</w:t>
      </w:r>
    </w:p>
    <w:p>
      <w:pPr>
        <w:wordWrap w:val="0"/>
        <w:ind w:firstLine="640" w:firstLineChars="200"/>
        <w:jc w:val="right"/>
        <w:rPr>
          <w:rFonts w:ascii="仿宋" w:hAnsi="仿宋" w:eastAsia="仿宋"/>
          <w:sz w:val="32"/>
          <w:szCs w:val="32"/>
        </w:rPr>
      </w:pPr>
      <w:r>
        <w:rPr>
          <w:rFonts w:hint="eastAsia" w:ascii="仿宋" w:hAnsi="仿宋" w:eastAsia="仿宋"/>
          <w:sz w:val="32"/>
          <w:szCs w:val="32"/>
        </w:rPr>
        <w:t xml:space="preserve">2018年9月7日  </w:t>
      </w:r>
    </w:p>
    <w:p>
      <w:pPr>
        <w:rPr>
          <w:rFonts w:ascii="仿宋" w:hAnsi="仿宋" w:eastAsia="仿宋"/>
          <w:sz w:val="32"/>
          <w:szCs w:val="32"/>
          <w:u w:val="single"/>
        </w:rPr>
      </w:pPr>
      <w:r>
        <w:rPr>
          <w:rFonts w:hint="eastAsia" w:ascii="仿宋" w:hAnsi="仿宋" w:eastAsia="仿宋"/>
          <w:sz w:val="32"/>
          <w:szCs w:val="32"/>
          <w:u w:val="single"/>
        </w:rPr>
        <w:t xml:space="preserve">                                                       </w:t>
      </w:r>
    </w:p>
    <w:p>
      <w:pPr>
        <w:rPr>
          <w:rFonts w:ascii="仿宋" w:hAnsi="仿宋" w:eastAsia="仿宋"/>
          <w:sz w:val="32"/>
          <w:szCs w:val="32"/>
          <w:u w:val="single"/>
        </w:rPr>
      </w:pPr>
      <w:r>
        <w:rPr>
          <w:rFonts w:hint="eastAsia" w:ascii="仿宋" w:hAnsi="仿宋" w:eastAsia="仿宋"/>
          <w:sz w:val="32"/>
          <w:szCs w:val="32"/>
          <w:u w:val="single"/>
        </w:rPr>
        <w:t xml:space="preserve">抄送：莆田市教育局，（存档2）。                         </w:t>
      </w:r>
    </w:p>
    <w:p>
      <w:pPr>
        <w:rPr>
          <w:rFonts w:ascii="仿宋" w:hAnsi="仿宋" w:eastAsia="仿宋"/>
          <w:sz w:val="32"/>
          <w:szCs w:val="32"/>
        </w:rPr>
      </w:pPr>
      <w:r>
        <w:rPr>
          <w:rFonts w:hint="eastAsia" w:ascii="仿宋" w:hAnsi="仿宋" w:eastAsia="仿宋"/>
          <w:sz w:val="32"/>
          <w:szCs w:val="32"/>
          <w:u w:val="single"/>
        </w:rPr>
        <w:t>莆田市教师进修学院办公室            2018年9月7日印发</w:t>
      </w:r>
    </w:p>
    <w:p>
      <w:pPr>
        <w:rPr>
          <w:rFonts w:ascii="仿宋" w:hAnsi="仿宋" w:eastAsia="仿宋"/>
          <w:sz w:val="32"/>
          <w:szCs w:val="32"/>
        </w:rPr>
      </w:pPr>
      <w:r>
        <w:rPr>
          <w:rFonts w:hint="eastAsia" w:ascii="仿宋" w:hAnsi="仿宋" w:eastAsia="仿宋"/>
          <w:sz w:val="32"/>
          <w:szCs w:val="32"/>
        </w:rPr>
        <w:t>附件：</w:t>
      </w:r>
    </w:p>
    <w:p>
      <w:pPr>
        <w:jc w:val="center"/>
        <w:rPr>
          <w:rFonts w:ascii="黑体" w:hAnsi="黑体" w:eastAsia="黑体"/>
          <w:sz w:val="36"/>
          <w:szCs w:val="36"/>
        </w:rPr>
      </w:pPr>
      <w:r>
        <w:rPr>
          <w:rFonts w:hint="eastAsia" w:ascii="黑体" w:hAnsi="黑体" w:eastAsia="黑体"/>
          <w:sz w:val="36"/>
          <w:szCs w:val="36"/>
        </w:rPr>
        <w:t>三个义务教育学校管理案例</w:t>
      </w:r>
    </w:p>
    <w:p>
      <w:pPr>
        <w:ind w:firstLine="643" w:firstLineChars="200"/>
        <w:rPr>
          <w:rFonts w:ascii="仿宋" w:hAnsi="仿宋" w:eastAsia="仿宋"/>
          <w:sz w:val="32"/>
          <w:szCs w:val="32"/>
          <w:shd w:val="clear" w:color="auto" w:fill="FFFFFF"/>
        </w:rPr>
      </w:pPr>
      <w:r>
        <w:rPr>
          <w:rFonts w:hint="eastAsia" w:ascii="仿宋" w:hAnsi="仿宋" w:eastAsia="仿宋"/>
          <w:b/>
          <w:sz w:val="32"/>
          <w:szCs w:val="32"/>
        </w:rPr>
        <w:t>案例一：</w:t>
      </w:r>
      <w:r>
        <w:rPr>
          <w:rFonts w:hint="eastAsia" w:ascii="仿宋" w:hAnsi="仿宋" w:eastAsia="仿宋"/>
          <w:sz w:val="32"/>
          <w:szCs w:val="32"/>
        </w:rPr>
        <w:t>C15心理健康教育（</w:t>
      </w:r>
      <w:r>
        <w:rPr>
          <w:rFonts w:hint="eastAsia" w:ascii="仿宋" w:hAnsi="仿宋" w:eastAsia="仿宋"/>
          <w:sz w:val="32"/>
          <w:szCs w:val="32"/>
          <w:shd w:val="clear" w:color="auto" w:fill="FFFFFF"/>
        </w:rPr>
        <w:t>落实《中小学心理健康教育指导纲要》，配备专兼职心理健康教师，开设心理健康教育课程，设置心理咨询室，建立学生心理健康档案，遵循学生身心发展规律，有针对性、科学性地开展心理辅导。）</w:t>
      </w:r>
    </w:p>
    <w:p>
      <w:pPr>
        <w:jc w:val="center"/>
        <w:rPr>
          <w:rFonts w:ascii="楷体" w:hAnsi="楷体" w:eastAsia="楷体"/>
          <w:b/>
          <w:sz w:val="36"/>
          <w:szCs w:val="36"/>
          <w:shd w:val="clear" w:color="auto" w:fill="FFFFFF"/>
        </w:rPr>
      </w:pPr>
      <w:r>
        <w:rPr>
          <w:rFonts w:hint="eastAsia" w:ascii="楷体" w:hAnsi="楷体" w:eastAsia="楷体"/>
          <w:b/>
          <w:sz w:val="36"/>
          <w:szCs w:val="36"/>
          <w:shd w:val="clear" w:color="auto" w:fill="FFFFFF"/>
        </w:rPr>
        <w:t>多措并举开展学生心理健康教育</w:t>
      </w:r>
    </w:p>
    <w:p>
      <w:pPr>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山西省孝义市府西街小学全力搭建心理健康教育平台，努力让每个学生都拥有健康的心态和完美的人格。</w:t>
      </w:r>
    </w:p>
    <w:p>
      <w:pPr>
        <w:ind w:firstLine="643" w:firstLineChars="200"/>
        <w:rPr>
          <w:rFonts w:ascii="仿宋" w:hAnsi="仿宋" w:eastAsia="仿宋"/>
          <w:sz w:val="32"/>
          <w:szCs w:val="32"/>
          <w:shd w:val="clear" w:color="auto" w:fill="FFFFFF"/>
        </w:rPr>
      </w:pPr>
      <w:r>
        <w:rPr>
          <w:rFonts w:hint="eastAsia" w:ascii="仿宋" w:hAnsi="仿宋" w:eastAsia="仿宋"/>
          <w:b/>
          <w:sz w:val="32"/>
          <w:szCs w:val="32"/>
          <w:shd w:val="clear" w:color="auto" w:fill="FFFFFF"/>
        </w:rPr>
        <w:t>一是强化氛围营造。</w:t>
      </w:r>
      <w:r>
        <w:rPr>
          <w:rFonts w:hint="eastAsia" w:ascii="仿宋" w:hAnsi="仿宋" w:eastAsia="仿宋"/>
          <w:sz w:val="32"/>
          <w:szCs w:val="32"/>
          <w:shd w:val="clear" w:color="auto" w:fill="FFFFFF"/>
        </w:rPr>
        <w:t>学校充分利用校园阵地，寓心理健康教育二活动之中，如用广播、板报做宣传；通过社团、少先队活动、社会实践活动等，使学生在实践中挑战自我，不断完善自我的心理和人格。</w:t>
      </w:r>
    </w:p>
    <w:p>
      <w:pPr>
        <w:ind w:firstLine="643" w:firstLineChars="200"/>
        <w:rPr>
          <w:rFonts w:ascii="仿宋" w:hAnsi="仿宋" w:eastAsia="仿宋"/>
          <w:sz w:val="32"/>
          <w:szCs w:val="32"/>
          <w:shd w:val="clear" w:color="auto" w:fill="FFFFFF"/>
        </w:rPr>
      </w:pPr>
      <w:r>
        <w:rPr>
          <w:rFonts w:hint="eastAsia" w:ascii="仿宋" w:hAnsi="仿宋" w:eastAsia="仿宋"/>
          <w:b/>
          <w:sz w:val="32"/>
          <w:szCs w:val="32"/>
          <w:shd w:val="clear" w:color="auto" w:fill="FFFFFF"/>
        </w:rPr>
        <w:t>二是注重学科渗透。</w:t>
      </w:r>
      <w:r>
        <w:rPr>
          <w:rFonts w:hint="eastAsia" w:ascii="仿宋" w:hAnsi="仿宋" w:eastAsia="仿宋"/>
          <w:sz w:val="32"/>
          <w:szCs w:val="32"/>
          <w:shd w:val="clear" w:color="auto" w:fill="FFFFFF"/>
        </w:rPr>
        <w:t>学校主张把心理健康教育寓各个学科教学实践中，营造和谐课堂心理环境的同时，使学生的心理素质得到提高。</w:t>
      </w:r>
    </w:p>
    <w:p>
      <w:pPr>
        <w:ind w:firstLine="643" w:firstLineChars="200"/>
        <w:rPr>
          <w:rFonts w:ascii="仿宋" w:hAnsi="仿宋" w:eastAsia="仿宋"/>
          <w:sz w:val="32"/>
          <w:szCs w:val="32"/>
          <w:shd w:val="clear" w:color="auto" w:fill="FFFFFF"/>
        </w:rPr>
      </w:pPr>
      <w:r>
        <w:rPr>
          <w:rFonts w:hint="eastAsia" w:ascii="仿宋" w:hAnsi="仿宋" w:eastAsia="仿宋"/>
          <w:b/>
          <w:sz w:val="32"/>
          <w:szCs w:val="32"/>
          <w:shd w:val="clear" w:color="auto" w:fill="FFFFFF"/>
        </w:rPr>
        <w:t>三是团体与个体辅导相结合。</w:t>
      </w:r>
      <w:r>
        <w:rPr>
          <w:rFonts w:hint="eastAsia" w:ascii="仿宋" w:hAnsi="仿宋" w:eastAsia="仿宋"/>
          <w:sz w:val="32"/>
          <w:szCs w:val="32"/>
          <w:shd w:val="clear" w:color="auto" w:fill="FFFFFF"/>
        </w:rPr>
        <w:t>让“心理健康教育”走进班级，有效开展行为习惯、文化知识、心理健康“三合一教育”的团体心理辅导。学校还设有专门的心理咨询室，配有整套设备以及专门的心理辅导老师，针对性地解决个别学生的心理问题。</w:t>
      </w:r>
    </w:p>
    <w:p>
      <w:pPr>
        <w:ind w:firstLine="643" w:firstLineChars="200"/>
        <w:rPr>
          <w:rFonts w:ascii="仿宋" w:hAnsi="仿宋" w:eastAsia="仿宋"/>
          <w:sz w:val="32"/>
          <w:szCs w:val="32"/>
          <w:shd w:val="clear" w:color="auto" w:fill="FFFFFF"/>
        </w:rPr>
      </w:pPr>
      <w:r>
        <w:rPr>
          <w:rFonts w:hint="eastAsia" w:ascii="仿宋" w:hAnsi="仿宋" w:eastAsia="仿宋"/>
          <w:b/>
          <w:sz w:val="32"/>
          <w:szCs w:val="32"/>
          <w:shd w:val="clear" w:color="auto" w:fill="FFFFFF"/>
        </w:rPr>
        <w:t>四是注重家校配合。</w:t>
      </w:r>
      <w:r>
        <w:rPr>
          <w:rFonts w:hint="eastAsia" w:ascii="仿宋" w:hAnsi="仿宋" w:eastAsia="仿宋"/>
          <w:sz w:val="32"/>
          <w:szCs w:val="32"/>
          <w:shd w:val="clear" w:color="auto" w:fill="FFFFFF"/>
        </w:rPr>
        <w:t>家长通过家长学校培训学习心理输导知识，并用于对孩子的教育指导之中，形成家校合力，共同呵护学生健康成长。</w:t>
      </w:r>
    </w:p>
    <w:p>
      <w:pPr>
        <w:ind w:firstLine="643" w:firstLineChars="200"/>
        <w:rPr>
          <w:rFonts w:ascii="仿宋" w:hAnsi="仿宋" w:eastAsia="仿宋"/>
          <w:sz w:val="32"/>
          <w:szCs w:val="32"/>
          <w:shd w:val="clear" w:color="auto" w:fill="FFFFFF"/>
        </w:rPr>
      </w:pPr>
      <w:r>
        <w:rPr>
          <w:rFonts w:hint="eastAsia" w:ascii="仿宋" w:hAnsi="仿宋" w:eastAsia="仿宋"/>
          <w:b/>
          <w:sz w:val="32"/>
          <w:szCs w:val="32"/>
          <w:shd w:val="clear" w:color="auto" w:fill="FFFFFF"/>
        </w:rPr>
        <w:t>案例二：</w:t>
      </w:r>
      <w:r>
        <w:rPr>
          <w:rFonts w:hint="eastAsia" w:ascii="仿宋" w:hAnsi="仿宋" w:eastAsia="仿宋"/>
          <w:sz w:val="32"/>
          <w:szCs w:val="32"/>
          <w:shd w:val="clear" w:color="auto" w:fill="FFFFFF"/>
        </w:rPr>
        <w:t>C29保障教师权益（</w:t>
      </w:r>
      <w:r>
        <w:rPr>
          <w:rFonts w:hint="eastAsia" w:ascii="仿宋" w:hAnsi="仿宋" w:eastAsia="仿宋"/>
          <w:sz w:val="32"/>
          <w:szCs w:val="32"/>
          <w:shd w:val="clear" w:color="auto" w:fill="FFFFFF"/>
        </w:rPr>
        <w:t>保障教师合法权益，关心教师生活状况和身心健康，经常开展有益的活动，每年安排一次教师体检。）</w:t>
      </w:r>
    </w:p>
    <w:p>
      <w:pPr>
        <w:jc w:val="center"/>
        <w:rPr>
          <w:rFonts w:ascii="楷体" w:hAnsi="楷体" w:eastAsia="楷体"/>
          <w:b/>
          <w:sz w:val="36"/>
          <w:szCs w:val="36"/>
          <w:shd w:val="clear" w:color="auto" w:fill="FFFFFF"/>
        </w:rPr>
      </w:pPr>
      <w:r>
        <w:rPr>
          <w:rFonts w:hint="eastAsia" w:ascii="楷体" w:hAnsi="楷体" w:eastAsia="楷体"/>
          <w:b/>
          <w:sz w:val="36"/>
          <w:szCs w:val="36"/>
          <w:shd w:val="clear" w:color="auto" w:fill="FFFFFF"/>
        </w:rPr>
        <w:t>实施教师幸福健康促进工程工程</w:t>
      </w:r>
    </w:p>
    <w:p>
      <w:pPr>
        <w:ind w:firstLine="640" w:firstLineChars="200"/>
        <w:rPr>
          <w:rFonts w:ascii="仿宋" w:hAnsi="仿宋" w:eastAsia="仿宋"/>
          <w:sz w:val="32"/>
          <w:szCs w:val="32"/>
        </w:rPr>
      </w:pPr>
      <w:r>
        <w:rPr>
          <w:rFonts w:hint="eastAsia" w:ascii="仿宋" w:hAnsi="仿宋" w:eastAsia="仿宋"/>
          <w:sz w:val="32"/>
          <w:szCs w:val="32"/>
        </w:rPr>
        <w:t>山东省荣成市幸福街小学始终坚持“以人为本 关爱教师”的理念，努力探索人文管理的新路子，全力实施教师幸福健康促进工程。每年至少组织全体教职工体检1次，建立健全健康档案。凡有教师生病，领导班子都会亲切关心慰问。每年邀请健康顾问、心理咨询专家等进行讲座不少于4次，帮助教师有效调适身心，确立健康的生活方式。组建了志愿者、户外运动、球类、航模等近10个教工社团，志同道合的教师每周组织开展活动，增进交往沟通，和谐人际关系。校长亲自挑选教育专著、经典名著、儿童文学、人生启智类等书籍100多套，各教研组进行“好书漂流”活动，引领老师品读感悟、共同分享，做书香教师，并能用全新的教学理念引领教育教学。及时发现教师的闪光点，每天推介鼓励。每月评选班级管理、读书写作、教育科研、真情服务、社团指导等幸福之星，仅2017年受表彰的教师已超200人次。表彰激励引领并促进发展，铺就幸福成长路，令教师更自信、更优秀。</w:t>
      </w:r>
    </w:p>
    <w:p>
      <w:pPr>
        <w:ind w:firstLine="643" w:firstLineChars="200"/>
        <w:rPr>
          <w:rFonts w:ascii="仿宋" w:hAnsi="仿宋" w:eastAsia="仿宋"/>
          <w:color w:val="000000"/>
          <w:sz w:val="32"/>
          <w:szCs w:val="32"/>
          <w:shd w:val="clear" w:color="auto" w:fill="FFFFFF"/>
        </w:rPr>
      </w:pPr>
      <w:r>
        <w:rPr>
          <w:rFonts w:hint="eastAsia" w:ascii="仿宋" w:hAnsi="仿宋" w:eastAsia="仿宋"/>
          <w:b/>
          <w:sz w:val="32"/>
          <w:szCs w:val="32"/>
        </w:rPr>
        <w:t>案例三：</w:t>
      </w:r>
      <w:r>
        <w:rPr>
          <w:rFonts w:hint="eastAsia" w:ascii="仿宋" w:hAnsi="仿宋" w:eastAsia="仿宋"/>
          <w:sz w:val="32"/>
          <w:szCs w:val="32"/>
        </w:rPr>
        <w:t>C40多种教学方式（</w:t>
      </w:r>
      <w:r>
        <w:rPr>
          <w:rFonts w:hint="eastAsia" w:ascii="仿宋" w:hAnsi="仿宋" w:eastAsia="仿宋"/>
          <w:color w:val="000000"/>
          <w:sz w:val="32"/>
          <w:szCs w:val="32"/>
          <w:shd w:val="clear" w:color="auto" w:fill="FFFFFF"/>
        </w:rPr>
        <w:t>采取启发式、讨论式、合作式等多种教学方式，课堂注重学思结合，鼓励学生大胆质疑，学生乐于在课堂上交流与沟通，效果好。）</w:t>
      </w:r>
    </w:p>
    <w:p>
      <w:pPr>
        <w:jc w:val="center"/>
        <w:rPr>
          <w:rFonts w:ascii="楷体" w:hAnsi="楷体" w:eastAsia="楷体"/>
          <w:b/>
          <w:sz w:val="36"/>
          <w:szCs w:val="36"/>
          <w:shd w:val="clear" w:color="auto" w:fill="FFFFFF"/>
        </w:rPr>
      </w:pPr>
      <w:r>
        <w:rPr>
          <w:rFonts w:hint="eastAsia" w:ascii="楷体" w:hAnsi="楷体" w:eastAsia="楷体"/>
          <w:b/>
          <w:sz w:val="36"/>
          <w:szCs w:val="36"/>
          <w:shd w:val="clear" w:color="auto" w:fill="FFFFFF"/>
        </w:rPr>
        <w:t>以学生为主体进行教学制度与模式创新</w:t>
      </w:r>
    </w:p>
    <w:p>
      <w:pPr>
        <w:ind w:firstLine="640" w:firstLineChars="200"/>
        <w:rPr>
          <w:rFonts w:ascii="仿宋" w:hAnsi="仿宋" w:eastAsia="仿宋"/>
          <w:sz w:val="32"/>
          <w:szCs w:val="32"/>
        </w:rPr>
      </w:pPr>
      <w:r>
        <w:rPr>
          <w:rFonts w:hint="eastAsia" w:ascii="仿宋" w:hAnsi="仿宋" w:eastAsia="仿宋"/>
          <w:sz w:val="32"/>
          <w:szCs w:val="32"/>
        </w:rPr>
        <w:t>北大附中运用各种方式调动学生参与教学的主动性和积极性，使学生都能在教学过程中获得关注和个性化学习资源，逐步形成自主学习的思维品质与能力。</w:t>
      </w:r>
    </w:p>
    <w:p>
      <w:pPr>
        <w:ind w:firstLine="643" w:firstLineChars="200"/>
        <w:rPr>
          <w:rFonts w:ascii="仿宋" w:hAnsi="仿宋" w:eastAsia="仿宋"/>
          <w:sz w:val="32"/>
          <w:szCs w:val="32"/>
        </w:rPr>
      </w:pPr>
      <w:r>
        <w:rPr>
          <w:rFonts w:hint="eastAsia" w:ascii="仿宋" w:hAnsi="仿宋" w:eastAsia="仿宋"/>
          <w:b/>
          <w:sz w:val="32"/>
          <w:szCs w:val="32"/>
        </w:rPr>
        <w:t>一是通过“小班制度”开展个性化教学。</w:t>
      </w:r>
      <w:r>
        <w:rPr>
          <w:rFonts w:hint="eastAsia" w:ascii="仿宋" w:hAnsi="仿宋" w:eastAsia="仿宋"/>
          <w:sz w:val="32"/>
          <w:szCs w:val="32"/>
        </w:rPr>
        <w:t>北大附中通过选课系统确保每个教学班级内的人数在30人以内，以此促进师生间的互动。</w:t>
      </w:r>
    </w:p>
    <w:p>
      <w:pPr>
        <w:ind w:firstLine="643" w:firstLineChars="200"/>
        <w:rPr>
          <w:rFonts w:ascii="仿宋" w:hAnsi="仿宋" w:eastAsia="仿宋"/>
          <w:sz w:val="32"/>
          <w:szCs w:val="32"/>
        </w:rPr>
      </w:pPr>
      <w:r>
        <w:rPr>
          <w:rFonts w:hint="eastAsia" w:ascii="仿宋" w:hAnsi="仿宋" w:eastAsia="仿宋"/>
          <w:b/>
          <w:sz w:val="32"/>
          <w:szCs w:val="32"/>
        </w:rPr>
        <w:t>二是利用“颠倒的课堂”促进学生主动参与。</w:t>
      </w:r>
      <w:r>
        <w:rPr>
          <w:rFonts w:hint="eastAsia" w:ascii="仿宋" w:hAnsi="仿宋" w:eastAsia="仿宋"/>
          <w:sz w:val="32"/>
          <w:szCs w:val="32"/>
        </w:rPr>
        <w:t>学校将知识传授与内化的时间顺序“颠倒”，使学生可以将时间与精力更多地倾注在教学的过程中，通过师生、生生的互动生成自己的知识体系。</w:t>
      </w:r>
    </w:p>
    <w:p>
      <w:pPr>
        <w:ind w:firstLine="643" w:firstLineChars="200"/>
        <w:rPr>
          <w:rFonts w:ascii="仿宋" w:hAnsi="仿宋" w:eastAsia="仿宋"/>
          <w:sz w:val="32"/>
          <w:szCs w:val="32"/>
        </w:rPr>
      </w:pPr>
      <w:r>
        <w:rPr>
          <w:rFonts w:hint="eastAsia" w:ascii="仿宋" w:hAnsi="仿宋" w:eastAsia="仿宋"/>
          <w:b/>
          <w:sz w:val="32"/>
          <w:szCs w:val="32"/>
        </w:rPr>
        <w:t>三是支持学生通过“自主开课”开拓创新。</w:t>
      </w:r>
      <w:r>
        <w:rPr>
          <w:rFonts w:hint="eastAsia" w:ascii="仿宋" w:hAnsi="仿宋" w:eastAsia="仿宋"/>
          <w:sz w:val="32"/>
          <w:szCs w:val="32"/>
        </w:rPr>
        <w:t>北大附中在教学方面给予学生充分展示自我、开拓创新的机会，允许学生可以按照学校开设课程的要求申请开课，提高学生自主学习的积极性。</w:t>
      </w:r>
    </w:p>
    <w:p>
      <w:pPr>
        <w:ind w:firstLine="643" w:firstLineChars="200"/>
        <w:rPr>
          <w:rFonts w:ascii="仿宋" w:hAnsi="仿宋" w:eastAsia="仿宋"/>
          <w:sz w:val="32"/>
          <w:szCs w:val="32"/>
        </w:rPr>
      </w:pPr>
      <w:r>
        <w:rPr>
          <w:rFonts w:hint="eastAsia" w:ascii="仿宋" w:hAnsi="仿宋" w:eastAsia="仿宋"/>
          <w:b/>
          <w:sz w:val="32"/>
          <w:szCs w:val="32"/>
        </w:rPr>
        <w:t>四是充分借助现货信息技术开展教学。</w:t>
      </w:r>
      <w:r>
        <w:rPr>
          <w:rFonts w:hint="eastAsia" w:ascii="仿宋" w:hAnsi="仿宋" w:eastAsia="仿宋"/>
          <w:sz w:val="32"/>
          <w:szCs w:val="32"/>
        </w:rPr>
        <w:t>将具有大规模、常态化、全过程、全学科等特点的“睿易云”教学系统引进课堂，使先进的技术与教学过程完美融合。</w:t>
      </w: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6"/>
          <w:szCs w:val="36"/>
        </w:rPr>
      </w:pPr>
      <w:r>
        <w:rPr>
          <w:rFonts w:hint="eastAsia" w:ascii="黑体" w:hAnsi="黑体" w:eastAsia="黑体"/>
          <w:sz w:val="36"/>
          <w:szCs w:val="36"/>
        </w:rPr>
        <w:t>莆田市基础教育优秀案例电子稿汇总表</w:t>
      </w:r>
    </w:p>
    <w:tbl>
      <w:tblPr>
        <w:tblStyle w:val="5"/>
        <w:tblW w:w="9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12"/>
        <w:gridCol w:w="2232"/>
        <w:gridCol w:w="1395"/>
        <w:gridCol w:w="1116"/>
        <w:gridCol w:w="1396"/>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09" w:type="dxa"/>
            <w:vAlign w:val="center"/>
          </w:tcPr>
          <w:p>
            <w:pPr>
              <w:jc w:val="center"/>
              <w:rPr>
                <w:rFonts w:hAnsiTheme="minorEastAsia"/>
                <w:sz w:val="24"/>
                <w:szCs w:val="24"/>
              </w:rPr>
            </w:pPr>
            <w:r>
              <w:rPr>
                <w:rFonts w:hint="eastAsia" w:hAnsiTheme="minorEastAsia"/>
                <w:sz w:val="24"/>
                <w:szCs w:val="24"/>
              </w:rPr>
              <w:t>序号</w:t>
            </w:r>
          </w:p>
        </w:tc>
        <w:tc>
          <w:tcPr>
            <w:tcW w:w="1212" w:type="dxa"/>
            <w:vAlign w:val="center"/>
          </w:tcPr>
          <w:p>
            <w:pPr>
              <w:jc w:val="center"/>
              <w:rPr>
                <w:rFonts w:hAnsiTheme="minorEastAsia"/>
                <w:sz w:val="24"/>
                <w:szCs w:val="24"/>
              </w:rPr>
            </w:pPr>
            <w:r>
              <w:rPr>
                <w:rFonts w:hint="eastAsia" w:hAnsiTheme="minorEastAsia"/>
                <w:sz w:val="24"/>
                <w:szCs w:val="24"/>
              </w:rPr>
              <w:t>案例内容</w:t>
            </w:r>
          </w:p>
        </w:tc>
        <w:tc>
          <w:tcPr>
            <w:tcW w:w="2232" w:type="dxa"/>
            <w:vAlign w:val="center"/>
          </w:tcPr>
          <w:p>
            <w:pPr>
              <w:jc w:val="center"/>
              <w:rPr>
                <w:rFonts w:hAnsiTheme="minorEastAsia"/>
                <w:sz w:val="24"/>
                <w:szCs w:val="24"/>
              </w:rPr>
            </w:pPr>
            <w:r>
              <w:rPr>
                <w:rFonts w:hint="eastAsia" w:hAnsiTheme="minorEastAsia"/>
                <w:sz w:val="24"/>
                <w:szCs w:val="24"/>
              </w:rPr>
              <w:t>案例题目</w:t>
            </w:r>
          </w:p>
        </w:tc>
        <w:tc>
          <w:tcPr>
            <w:tcW w:w="1395" w:type="dxa"/>
            <w:vAlign w:val="center"/>
          </w:tcPr>
          <w:p>
            <w:pPr>
              <w:jc w:val="center"/>
              <w:rPr>
                <w:rFonts w:hAnsiTheme="minorEastAsia"/>
                <w:sz w:val="24"/>
                <w:szCs w:val="24"/>
              </w:rPr>
            </w:pPr>
            <w:r>
              <w:rPr>
                <w:rFonts w:hint="eastAsia" w:hAnsiTheme="minorEastAsia"/>
                <w:sz w:val="24"/>
                <w:szCs w:val="24"/>
              </w:rPr>
              <w:t>单位名称</w:t>
            </w:r>
          </w:p>
        </w:tc>
        <w:tc>
          <w:tcPr>
            <w:tcW w:w="1116" w:type="dxa"/>
            <w:vAlign w:val="center"/>
          </w:tcPr>
          <w:p>
            <w:pPr>
              <w:jc w:val="center"/>
              <w:rPr>
                <w:rFonts w:hAnsiTheme="minorEastAsia"/>
                <w:sz w:val="24"/>
                <w:szCs w:val="24"/>
              </w:rPr>
            </w:pPr>
            <w:r>
              <w:rPr>
                <w:rFonts w:hint="eastAsia" w:hAnsiTheme="minorEastAsia"/>
                <w:sz w:val="24"/>
                <w:szCs w:val="24"/>
              </w:rPr>
              <w:t>作者</w:t>
            </w:r>
          </w:p>
        </w:tc>
        <w:tc>
          <w:tcPr>
            <w:tcW w:w="1396" w:type="dxa"/>
            <w:vAlign w:val="center"/>
          </w:tcPr>
          <w:p>
            <w:pPr>
              <w:jc w:val="center"/>
              <w:rPr>
                <w:rFonts w:hAnsiTheme="minorEastAsia"/>
                <w:sz w:val="24"/>
                <w:szCs w:val="24"/>
              </w:rPr>
            </w:pPr>
            <w:r>
              <w:rPr>
                <w:rFonts w:hint="eastAsia" w:hAnsiTheme="minorEastAsia"/>
                <w:sz w:val="24"/>
                <w:szCs w:val="24"/>
              </w:rPr>
              <w:t>联系电话</w:t>
            </w:r>
          </w:p>
        </w:tc>
        <w:tc>
          <w:tcPr>
            <w:tcW w:w="1384" w:type="dxa"/>
            <w:vAlign w:val="center"/>
          </w:tcPr>
          <w:p>
            <w:pPr>
              <w:jc w:val="center"/>
              <w:rPr>
                <w:rFonts w:hAnsiTheme="minorEastAsia"/>
                <w:sz w:val="24"/>
                <w:szCs w:val="24"/>
              </w:rPr>
            </w:pPr>
            <w:r>
              <w:rPr>
                <w:rFonts w:hint="eastAsia" w:hAnsiTheme="minorEastAsia"/>
                <w:sz w:val="24"/>
                <w:szCs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09" w:type="dxa"/>
            <w:vAlign w:val="center"/>
          </w:tcPr>
          <w:p>
            <w:pPr>
              <w:jc w:val="center"/>
              <w:rPr>
                <w:rFonts w:ascii="Times New Roman" w:hAnsi="Times New Roman" w:cs="Times New Roman"/>
                <w:szCs w:val="21"/>
              </w:rPr>
            </w:pPr>
            <w:r>
              <w:rPr>
                <w:rFonts w:hint="eastAsia" w:ascii="Times New Roman" w:hAnsi="Times New Roman" w:cs="Times New Roman"/>
                <w:szCs w:val="21"/>
              </w:rPr>
              <w:t>例</w:t>
            </w:r>
          </w:p>
        </w:tc>
        <w:tc>
          <w:tcPr>
            <w:tcW w:w="1212" w:type="dxa"/>
            <w:vAlign w:val="center"/>
          </w:tcPr>
          <w:p>
            <w:pPr>
              <w:jc w:val="center"/>
              <w:rPr>
                <w:rFonts w:hAnsiTheme="minorEastAsia"/>
                <w:szCs w:val="21"/>
              </w:rPr>
            </w:pPr>
            <w:r>
              <w:rPr>
                <w:rFonts w:hint="eastAsia" w:hAnsiTheme="minorEastAsia"/>
                <w:szCs w:val="21"/>
              </w:rPr>
              <w:t>义务教育学校管理</w:t>
            </w:r>
          </w:p>
        </w:tc>
        <w:tc>
          <w:tcPr>
            <w:tcW w:w="2232" w:type="dxa"/>
            <w:vAlign w:val="center"/>
          </w:tcPr>
          <w:p>
            <w:pPr>
              <w:jc w:val="center"/>
              <w:rPr>
                <w:rFonts w:hAnsiTheme="minorEastAsia"/>
                <w:szCs w:val="21"/>
              </w:rPr>
            </w:pPr>
            <w:r>
              <w:rPr>
                <w:rFonts w:hint="eastAsia" w:hAnsiTheme="minorEastAsia"/>
                <w:szCs w:val="21"/>
              </w:rPr>
              <w:t>以学生为主体进行教学制度与模式创新</w:t>
            </w:r>
          </w:p>
        </w:tc>
        <w:tc>
          <w:tcPr>
            <w:tcW w:w="1395" w:type="dxa"/>
            <w:vAlign w:val="center"/>
          </w:tcPr>
          <w:p>
            <w:pPr>
              <w:jc w:val="center"/>
              <w:rPr>
                <w:rFonts w:hAnsiTheme="minorEastAsia"/>
                <w:szCs w:val="21"/>
              </w:rPr>
            </w:pPr>
            <w:r>
              <w:rPr>
                <w:rFonts w:hint="eastAsia" w:hAnsiTheme="minorEastAsia"/>
                <w:szCs w:val="21"/>
              </w:rPr>
              <w:t>北大附中</w:t>
            </w:r>
          </w:p>
        </w:tc>
        <w:tc>
          <w:tcPr>
            <w:tcW w:w="1116" w:type="dxa"/>
            <w:vAlign w:val="center"/>
          </w:tcPr>
          <w:p>
            <w:pPr>
              <w:jc w:val="center"/>
              <w:rPr>
                <w:rFonts w:hAnsiTheme="minorEastAsia"/>
                <w:szCs w:val="21"/>
              </w:rPr>
            </w:pPr>
            <w:r>
              <w:rPr>
                <w:rFonts w:hint="eastAsia" w:hAnsiTheme="minorEastAsia"/>
                <w:szCs w:val="21"/>
              </w:rPr>
              <w:t>……</w:t>
            </w:r>
          </w:p>
        </w:tc>
        <w:tc>
          <w:tcPr>
            <w:tcW w:w="1396" w:type="dxa"/>
            <w:vAlign w:val="center"/>
          </w:tcPr>
          <w:p>
            <w:pPr>
              <w:jc w:val="center"/>
              <w:rPr>
                <w:rFonts w:hAnsiTheme="minorEastAsia"/>
                <w:szCs w:val="21"/>
              </w:rPr>
            </w:pPr>
            <w:r>
              <w:rPr>
                <w:rFonts w:hint="eastAsia" w:hAnsiTheme="minorEastAsia"/>
                <w:szCs w:val="21"/>
              </w:rPr>
              <w:t>……</w:t>
            </w:r>
          </w:p>
        </w:tc>
        <w:tc>
          <w:tcPr>
            <w:tcW w:w="1384" w:type="dxa"/>
            <w:vAlign w:val="center"/>
          </w:tcPr>
          <w:p>
            <w:pPr>
              <w:jc w:val="center"/>
              <w:rPr>
                <w:rFonts w:hAnsiTheme="minorEastAsia"/>
                <w:szCs w:val="21"/>
              </w:rPr>
            </w:pPr>
            <w:r>
              <w:rPr>
                <w:rFonts w:hint="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2</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3</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4</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5</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6</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7</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8</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9</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10</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11</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12</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13</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14</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15</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16</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17</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18</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19</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709" w:type="dxa"/>
            <w:vAlign w:val="center"/>
          </w:tcPr>
          <w:p>
            <w:pPr>
              <w:jc w:val="center"/>
              <w:rPr>
                <w:rFonts w:ascii="Times New Roman" w:hAnsi="Times New Roman" w:cs="Times New Roman"/>
                <w:szCs w:val="21"/>
              </w:rPr>
            </w:pPr>
            <w:r>
              <w:rPr>
                <w:rFonts w:ascii="Times New Roman" w:hAnsi="Times New Roman" w:cs="Times New Roman"/>
                <w:szCs w:val="21"/>
              </w:rPr>
              <w:t>20</w:t>
            </w:r>
          </w:p>
        </w:tc>
        <w:tc>
          <w:tcPr>
            <w:tcW w:w="1212" w:type="dxa"/>
            <w:vAlign w:val="center"/>
          </w:tcPr>
          <w:p>
            <w:pPr>
              <w:jc w:val="center"/>
              <w:rPr>
                <w:rFonts w:hAnsiTheme="minorEastAsia"/>
                <w:szCs w:val="21"/>
              </w:rPr>
            </w:pPr>
          </w:p>
        </w:tc>
        <w:tc>
          <w:tcPr>
            <w:tcW w:w="2232" w:type="dxa"/>
            <w:vAlign w:val="center"/>
          </w:tcPr>
          <w:p>
            <w:pPr>
              <w:jc w:val="center"/>
              <w:rPr>
                <w:rFonts w:hAnsiTheme="minorEastAsia"/>
                <w:szCs w:val="21"/>
              </w:rPr>
            </w:pPr>
          </w:p>
        </w:tc>
        <w:tc>
          <w:tcPr>
            <w:tcW w:w="1395" w:type="dxa"/>
            <w:vAlign w:val="center"/>
          </w:tcPr>
          <w:p>
            <w:pPr>
              <w:jc w:val="center"/>
              <w:rPr>
                <w:rFonts w:hAnsiTheme="minorEastAsia"/>
                <w:szCs w:val="21"/>
              </w:rPr>
            </w:pPr>
          </w:p>
        </w:tc>
        <w:tc>
          <w:tcPr>
            <w:tcW w:w="1116" w:type="dxa"/>
            <w:vAlign w:val="center"/>
          </w:tcPr>
          <w:p>
            <w:pPr>
              <w:jc w:val="center"/>
              <w:rPr>
                <w:rFonts w:hAnsiTheme="minorEastAsia"/>
                <w:szCs w:val="21"/>
              </w:rPr>
            </w:pPr>
          </w:p>
        </w:tc>
        <w:tc>
          <w:tcPr>
            <w:tcW w:w="1396" w:type="dxa"/>
            <w:vAlign w:val="center"/>
          </w:tcPr>
          <w:p>
            <w:pPr>
              <w:jc w:val="center"/>
              <w:rPr>
                <w:rFonts w:hAnsiTheme="minorEastAsia"/>
                <w:szCs w:val="21"/>
              </w:rPr>
            </w:pPr>
          </w:p>
        </w:tc>
        <w:tc>
          <w:tcPr>
            <w:tcW w:w="1384" w:type="dxa"/>
            <w:vAlign w:val="center"/>
          </w:tcPr>
          <w:p>
            <w:pPr>
              <w:jc w:val="center"/>
              <w:rPr>
                <w:rFonts w:hAnsiTheme="minorEastAsia"/>
                <w:szCs w:val="21"/>
              </w:rPr>
            </w:pPr>
          </w:p>
        </w:tc>
      </w:tr>
    </w:tbl>
    <w:p>
      <w:pPr>
        <w:jc w:val="center"/>
        <w:rPr>
          <w:rFonts w:ascii="仿宋" w:hAnsi="仿宋" w:eastAsia="仿宋"/>
          <w:sz w:val="28"/>
          <w:szCs w:val="28"/>
        </w:rPr>
      </w:pPr>
    </w:p>
    <w:sectPr>
      <w:pgSz w:w="11906" w:h="16838"/>
      <w:pgMar w:top="1474" w:right="1588"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0A9C"/>
    <w:rsid w:val="00060ECA"/>
    <w:rsid w:val="0009362D"/>
    <w:rsid w:val="000A14D0"/>
    <w:rsid w:val="00172AF3"/>
    <w:rsid w:val="00202B9B"/>
    <w:rsid w:val="00244341"/>
    <w:rsid w:val="00266BF1"/>
    <w:rsid w:val="0034432A"/>
    <w:rsid w:val="003605F2"/>
    <w:rsid w:val="003B335B"/>
    <w:rsid w:val="003C4B07"/>
    <w:rsid w:val="00422104"/>
    <w:rsid w:val="00435325"/>
    <w:rsid w:val="004900C3"/>
    <w:rsid w:val="00587D88"/>
    <w:rsid w:val="006C68B4"/>
    <w:rsid w:val="007E465F"/>
    <w:rsid w:val="00837F96"/>
    <w:rsid w:val="00860A9C"/>
    <w:rsid w:val="00935F22"/>
    <w:rsid w:val="00AF4D71"/>
    <w:rsid w:val="00BA697D"/>
    <w:rsid w:val="00D1720F"/>
    <w:rsid w:val="00DB224A"/>
    <w:rsid w:val="00E959D5"/>
    <w:rsid w:val="00EA4DB9"/>
    <w:rsid w:val="00EB2B17"/>
    <w:rsid w:val="00EE4CA9"/>
    <w:rsid w:val="00F17CEA"/>
    <w:rsid w:val="00F84349"/>
    <w:rsid w:val="54CC1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000FF" w:themeColor="hyperlink"/>
      <w:u w:val="single"/>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383</Words>
  <Characters>2186</Characters>
  <Lines>18</Lines>
  <Paragraphs>5</Paragraphs>
  <TotalTime>639</TotalTime>
  <ScaleCrop>false</ScaleCrop>
  <LinksUpToDate>false</LinksUpToDate>
  <CharactersWithSpaces>2564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2018-09-05T08:58:00Z</dcterms:created>
  <dc:creator>张三</dc:creator>
  <cp:lastModifiedBy>Administrator</cp:lastModifiedBy>
  <cp:lastPrinted>2018-09-07T01:20:00Z</cp:lastPrinted>
  <dcterms:modified xsi:type="dcterms:W3CDTF">2018-09-17T08:08:28Z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